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7AE34" w14:textId="36702DFD" w:rsidR="00844007" w:rsidRPr="00844007" w:rsidRDefault="00844007" w:rsidP="00844007">
      <w:pPr>
        <w:rPr>
          <w:b/>
          <w:lang w:val="en-US"/>
        </w:rPr>
      </w:pPr>
      <w:proofErr w:type="spellStart"/>
      <w:r w:rsidRPr="00844007">
        <w:rPr>
          <w:b/>
          <w:lang w:val="en-US"/>
        </w:rPr>
        <w:t>Микроэлектроника</w:t>
      </w:r>
      <w:proofErr w:type="spellEnd"/>
      <w:r w:rsidRPr="00844007">
        <w:rPr>
          <w:b/>
          <w:lang w:val="en-US"/>
        </w:rPr>
        <w:t xml:space="preserve"> </w:t>
      </w:r>
      <w:r w:rsidR="00E02744">
        <w:rPr>
          <w:b/>
          <w:lang w:val="en-US"/>
        </w:rPr>
        <w:t xml:space="preserve">/ </w:t>
      </w:r>
      <w:r w:rsidRPr="00844007">
        <w:rPr>
          <w:b/>
          <w:lang w:val="en-US"/>
        </w:rPr>
        <w:t>Russian Microelectronics</w:t>
      </w:r>
    </w:p>
    <w:p w14:paraId="7712EC69" w14:textId="77777777" w:rsidR="00E47381" w:rsidRDefault="00E47381" w:rsidP="00844007">
      <w:pPr>
        <w:rPr>
          <w:lang w:val="en-US"/>
        </w:rPr>
      </w:pPr>
    </w:p>
    <w:p w14:paraId="2C046B29" w14:textId="77777777" w:rsidR="00844007" w:rsidRPr="00844007" w:rsidRDefault="00844007" w:rsidP="00844007">
      <w:pPr>
        <w:rPr>
          <w:lang w:val="en-US"/>
        </w:rPr>
      </w:pPr>
      <w:r w:rsidRPr="00844007">
        <w:rPr>
          <w:lang w:val="en-US"/>
        </w:rPr>
        <w:t xml:space="preserve">1. The journal publishes articles on semiconductor devices based on new physical principles such as quantum dimensional effects and superconductivity. This research area covers </w:t>
      </w:r>
      <w:proofErr w:type="spellStart"/>
      <w:r w:rsidRPr="00844007">
        <w:rPr>
          <w:lang w:val="en-US"/>
        </w:rPr>
        <w:t>heterostructures</w:t>
      </w:r>
      <w:proofErr w:type="spellEnd"/>
      <w:r w:rsidRPr="00844007">
        <w:rPr>
          <w:lang w:val="en-US"/>
        </w:rPr>
        <w:t xml:space="preserve">, </w:t>
      </w:r>
      <w:proofErr w:type="spellStart"/>
      <w:r w:rsidRPr="00844007">
        <w:rPr>
          <w:lang w:val="en-US"/>
        </w:rPr>
        <w:t>nanotransistors</w:t>
      </w:r>
      <w:proofErr w:type="spellEnd"/>
      <w:r w:rsidRPr="00844007">
        <w:rPr>
          <w:lang w:val="en-US"/>
        </w:rPr>
        <w:t>, and semiconductor implementations of quantum bits (qubits).</w:t>
      </w:r>
    </w:p>
    <w:p w14:paraId="408FD6D7" w14:textId="6340DB30" w:rsidR="00844007" w:rsidRPr="00844007" w:rsidRDefault="00844007" w:rsidP="00844007">
      <w:pPr>
        <w:rPr>
          <w:lang w:val="en-US"/>
        </w:rPr>
      </w:pPr>
      <w:r w:rsidRPr="00844007">
        <w:rPr>
          <w:lang w:val="en-US"/>
        </w:rPr>
        <w:t>2. The names of the authors of the article are arranged in alphabetical order, the initials are placed before the surname. (Information about the authors, indicating the name, patronymic</w:t>
      </w:r>
      <w:r w:rsidR="00362812">
        <w:rPr>
          <w:lang w:val="en-US"/>
        </w:rPr>
        <w:t xml:space="preserve"> if any</w:t>
      </w:r>
      <w:r w:rsidRPr="00844007">
        <w:rPr>
          <w:lang w:val="en-US"/>
        </w:rPr>
        <w:t xml:space="preserve">, postal home address, place of work and phone numbers (of each of the co-authors), as well as the e-mail address to which the proofreading will be sent, are additionally placed on a separate page after the text of the article and figures). </w:t>
      </w:r>
    </w:p>
    <w:p w14:paraId="6931D2DD" w14:textId="3F2072B0" w:rsidR="00844007" w:rsidRPr="00844007" w:rsidRDefault="00844007" w:rsidP="00844007">
      <w:pPr>
        <w:rPr>
          <w:lang w:val="en-US"/>
        </w:rPr>
      </w:pPr>
      <w:r w:rsidRPr="00844007">
        <w:rPr>
          <w:lang w:val="en-US"/>
        </w:rPr>
        <w:t xml:space="preserve">3. The article should be submitted in electronic form (Word font No. 14, Times New Roman), formulas should be separated from the text by a large interval and printed </w:t>
      </w:r>
      <w:r w:rsidR="00222A03">
        <w:rPr>
          <w:lang w:val="en-US"/>
        </w:rPr>
        <w:t xml:space="preserve">in more </w:t>
      </w:r>
      <w:r w:rsidR="00222A03" w:rsidRPr="00222A03">
        <w:rPr>
          <w:lang w:val="en-US"/>
        </w:rPr>
        <w:t>rarefied</w:t>
      </w:r>
      <w:r w:rsidR="00222A03">
        <w:rPr>
          <w:lang w:val="en-US"/>
        </w:rPr>
        <w:t xml:space="preserve"> font</w:t>
      </w:r>
      <w:r w:rsidRPr="00844007">
        <w:rPr>
          <w:lang w:val="en-US"/>
        </w:rPr>
        <w:t xml:space="preserve"> than the main text. </w:t>
      </w:r>
    </w:p>
    <w:p w14:paraId="3773638B" w14:textId="77777777" w:rsidR="00844007" w:rsidRPr="00844007" w:rsidRDefault="00844007" w:rsidP="00844007">
      <w:pPr>
        <w:rPr>
          <w:lang w:val="en-US"/>
        </w:rPr>
      </w:pPr>
      <w:r w:rsidRPr="00844007">
        <w:rPr>
          <w:lang w:val="en-US"/>
        </w:rPr>
        <w:t>4. The "header" of the arti</w:t>
      </w:r>
      <w:bookmarkStart w:id="0" w:name="_GoBack"/>
      <w:bookmarkEnd w:id="0"/>
      <w:r w:rsidRPr="00844007">
        <w:rPr>
          <w:lang w:val="en-US"/>
        </w:rPr>
        <w:t xml:space="preserve">cle (and, if desired, its translation at the end of the article) should be designed according to a single standard. All information about the authors is placed in the "header" of the article. </w:t>
      </w:r>
    </w:p>
    <w:p w14:paraId="60BE9D9E" w14:textId="77777777" w:rsidR="00844007" w:rsidRPr="00844007" w:rsidRDefault="00844007" w:rsidP="00170CEE">
      <w:pPr>
        <w:ind w:left="708"/>
        <w:rPr>
          <w:lang w:val="en-US"/>
        </w:rPr>
      </w:pPr>
      <w:r w:rsidRPr="00844007">
        <w:rPr>
          <w:lang w:val="en-US"/>
        </w:rPr>
        <w:t>a) Links to the authors' places of work in Latin letters: a, b, c, etc.;</w:t>
      </w:r>
    </w:p>
    <w:p w14:paraId="0BB1933D" w14:textId="77777777" w:rsidR="00844007" w:rsidRPr="00844007" w:rsidRDefault="00844007" w:rsidP="00170CEE">
      <w:pPr>
        <w:ind w:left="708"/>
        <w:rPr>
          <w:lang w:val="en-US"/>
        </w:rPr>
      </w:pPr>
      <w:r w:rsidRPr="00844007">
        <w:rPr>
          <w:lang w:val="en-US"/>
        </w:rPr>
        <w:t>b) Links to email addresses: *, **, etc.</w:t>
      </w:r>
    </w:p>
    <w:p w14:paraId="366A40A9" w14:textId="77777777" w:rsidR="00844007" w:rsidRPr="00E47381" w:rsidRDefault="00844007" w:rsidP="00844007">
      <w:pPr>
        <w:rPr>
          <w:b/>
          <w:lang w:val="en-US"/>
        </w:rPr>
      </w:pPr>
      <w:r w:rsidRPr="00E47381">
        <w:rPr>
          <w:b/>
          <w:lang w:val="en-US"/>
        </w:rPr>
        <w:t>A sample of the header design is given below:</w:t>
      </w:r>
    </w:p>
    <w:p w14:paraId="253F6166" w14:textId="77777777" w:rsidR="00844007" w:rsidRPr="00844007" w:rsidRDefault="00844007" w:rsidP="00844007">
      <w:pPr>
        <w:rPr>
          <w:lang w:val="en-US"/>
        </w:rPr>
      </w:pPr>
      <w:r w:rsidRPr="00844007">
        <w:rPr>
          <w:lang w:val="en-US"/>
        </w:rPr>
        <w:t xml:space="preserve">UDC 0000 </w:t>
      </w:r>
    </w:p>
    <w:p w14:paraId="0B883CE8" w14:textId="77777777" w:rsidR="00844007" w:rsidRPr="00844007" w:rsidRDefault="00844007" w:rsidP="00222A03">
      <w:pPr>
        <w:jc w:val="center"/>
        <w:rPr>
          <w:lang w:val="en-US"/>
        </w:rPr>
      </w:pPr>
      <w:r w:rsidRPr="00844007">
        <w:rPr>
          <w:lang w:val="en-US"/>
        </w:rPr>
        <w:t>Ab initio MODELING OF GOLD ADSORPTION ON THE SURFACE OF DEFECTIVE GRAPHENE</w:t>
      </w:r>
    </w:p>
    <w:p w14:paraId="04954243" w14:textId="77777777" w:rsidR="00844007" w:rsidRPr="00844007" w:rsidRDefault="00844007" w:rsidP="00222A03">
      <w:pPr>
        <w:jc w:val="center"/>
        <w:rPr>
          <w:lang w:val="en-US"/>
        </w:rPr>
      </w:pPr>
      <w:r w:rsidRPr="00844007">
        <w:rPr>
          <w:lang w:val="en-US"/>
        </w:rPr>
        <w:t>© 2023 M. M. Asadov</w:t>
      </w:r>
      <w:r w:rsidR="00E47381" w:rsidRPr="00E47381">
        <w:rPr>
          <w:rFonts w:ascii="Times New Roman" w:hAnsi="Times New Roman" w:cs="Times New Roman"/>
          <w:sz w:val="28"/>
          <w:szCs w:val="28"/>
          <w:vertAlign w:val="superscript"/>
          <w:lang w:val="en-US"/>
        </w:rPr>
        <w:t xml:space="preserve">1, 2, </w:t>
      </w:r>
      <w:r w:rsidR="00E47381" w:rsidRPr="00E47381">
        <w:rPr>
          <w:rFonts w:ascii="Times New Roman" w:hAnsi="Times New Roman" w:cs="Times New Roman"/>
          <w:sz w:val="28"/>
          <w:szCs w:val="28"/>
          <w:lang w:val="en-US"/>
        </w:rPr>
        <w:t>*</w:t>
      </w:r>
      <w:r w:rsidR="00E47381">
        <w:rPr>
          <w:lang w:val="en-US"/>
        </w:rPr>
        <w:t>, S. O. Mammadova</w:t>
      </w:r>
      <w:r w:rsidR="00E47381" w:rsidRPr="00E47381">
        <w:rPr>
          <w:rFonts w:ascii="Times New Roman" w:hAnsi="Times New Roman" w:cs="Times New Roman"/>
          <w:sz w:val="28"/>
          <w:szCs w:val="28"/>
          <w:vertAlign w:val="superscript"/>
          <w:lang w:val="en-US"/>
        </w:rPr>
        <w:t>3</w:t>
      </w:r>
      <w:r w:rsidRPr="00844007">
        <w:rPr>
          <w:lang w:val="en-US"/>
        </w:rPr>
        <w:t>, S. S. Huseynova</w:t>
      </w:r>
      <w:r w:rsidR="00E47381" w:rsidRPr="00E47381">
        <w:rPr>
          <w:rFonts w:ascii="Times New Roman" w:hAnsi="Times New Roman" w:cs="Times New Roman"/>
          <w:sz w:val="28"/>
          <w:szCs w:val="28"/>
          <w:vertAlign w:val="superscript"/>
          <w:lang w:val="en-US"/>
        </w:rPr>
        <w:t>3</w:t>
      </w:r>
      <w:r w:rsidRPr="00844007">
        <w:rPr>
          <w:lang w:val="en-US"/>
        </w:rPr>
        <w:t>, S. N. Mustafaeva</w:t>
      </w:r>
      <w:r w:rsidR="00E47381" w:rsidRPr="00E47381">
        <w:rPr>
          <w:rFonts w:ascii="Times New Roman" w:hAnsi="Times New Roman" w:cs="Times New Roman"/>
          <w:sz w:val="28"/>
          <w:szCs w:val="28"/>
          <w:vertAlign w:val="superscript"/>
          <w:lang w:val="en-US"/>
        </w:rPr>
        <w:t>3</w:t>
      </w:r>
      <w:r w:rsidRPr="00844007">
        <w:rPr>
          <w:lang w:val="en-US"/>
        </w:rPr>
        <w:t>, V. F. Lukichev</w:t>
      </w:r>
      <w:r w:rsidR="00E47381" w:rsidRPr="00E47381">
        <w:rPr>
          <w:rFonts w:ascii="Times New Roman" w:hAnsi="Times New Roman" w:cs="Times New Roman"/>
          <w:sz w:val="28"/>
          <w:szCs w:val="28"/>
          <w:vertAlign w:val="superscript"/>
          <w:lang w:val="en-US"/>
        </w:rPr>
        <w:t>4</w:t>
      </w:r>
      <w:r w:rsidRPr="00844007">
        <w:rPr>
          <w:lang w:val="en-US"/>
        </w:rPr>
        <w:t>,</w:t>
      </w:r>
    </w:p>
    <w:p w14:paraId="6D1BBDBC" w14:textId="5ADC941D" w:rsidR="00844007" w:rsidRPr="00844007" w:rsidRDefault="00844007" w:rsidP="00222A03">
      <w:pPr>
        <w:jc w:val="center"/>
        <w:rPr>
          <w:lang w:val="en-US"/>
        </w:rPr>
      </w:pPr>
      <w:r w:rsidRPr="00844007">
        <w:rPr>
          <w:lang w:val="en-US"/>
        </w:rPr>
        <w:t>**</w:t>
      </w:r>
      <w:r w:rsidR="00E47381" w:rsidRPr="00E47381">
        <w:rPr>
          <w:rFonts w:ascii="Times New Roman" w:hAnsi="Times New Roman" w:cs="Times New Roman"/>
          <w:sz w:val="28"/>
          <w:szCs w:val="28"/>
          <w:vertAlign w:val="superscript"/>
          <w:lang w:val="en-US"/>
        </w:rPr>
        <w:t>1</w:t>
      </w:r>
      <w:r w:rsidRPr="00844007">
        <w:rPr>
          <w:lang w:val="en-US"/>
        </w:rPr>
        <w:t xml:space="preserve"> </w:t>
      </w:r>
      <w:proofErr w:type="spellStart"/>
      <w:r w:rsidRPr="00844007">
        <w:rPr>
          <w:lang w:val="en-US"/>
        </w:rPr>
        <w:t>Nagiyev</w:t>
      </w:r>
      <w:proofErr w:type="spellEnd"/>
      <w:r w:rsidRPr="00844007">
        <w:rPr>
          <w:lang w:val="en-US"/>
        </w:rPr>
        <w:t xml:space="preserve"> Institute of Catalysis and Inorganic Chemistry of the National Academy of Sciences of Azerbaijan, 113 G. Javid Ave., Baku, AZ-1143 Azerbaijan</w:t>
      </w:r>
    </w:p>
    <w:p w14:paraId="5C4AB461" w14:textId="5B2B15FE" w:rsidR="00844007" w:rsidRPr="00844007" w:rsidRDefault="00E47381" w:rsidP="00222A03">
      <w:pPr>
        <w:jc w:val="center"/>
        <w:rPr>
          <w:lang w:val="en-US"/>
        </w:rPr>
      </w:pPr>
      <w:r w:rsidRPr="00E47381">
        <w:rPr>
          <w:rFonts w:ascii="Times New Roman" w:hAnsi="Times New Roman" w:cs="Times New Roman"/>
          <w:sz w:val="28"/>
          <w:szCs w:val="28"/>
          <w:vertAlign w:val="superscript"/>
          <w:lang w:val="en-US"/>
        </w:rPr>
        <w:t>2</w:t>
      </w:r>
      <w:r w:rsidR="00844007" w:rsidRPr="00844007">
        <w:rPr>
          <w:lang w:val="en-US"/>
        </w:rPr>
        <w:t xml:space="preserve">Scientific Research Institute of </w:t>
      </w:r>
      <w:proofErr w:type="spellStart"/>
      <w:r w:rsidR="00844007" w:rsidRPr="00844007">
        <w:rPr>
          <w:lang w:val="en-US"/>
        </w:rPr>
        <w:t>Geotechnological</w:t>
      </w:r>
      <w:proofErr w:type="spellEnd"/>
      <w:r w:rsidR="00844007" w:rsidRPr="00844007">
        <w:rPr>
          <w:lang w:val="en-US"/>
        </w:rPr>
        <w:t xml:space="preserve"> Problems of Oil, Gas and Chemistry, 20 </w:t>
      </w:r>
      <w:proofErr w:type="spellStart"/>
      <w:r w:rsidR="00844007" w:rsidRPr="00844007">
        <w:rPr>
          <w:lang w:val="en-US"/>
        </w:rPr>
        <w:t>Azadlig</w:t>
      </w:r>
      <w:proofErr w:type="spellEnd"/>
      <w:r w:rsidR="00844007" w:rsidRPr="00844007">
        <w:rPr>
          <w:lang w:val="en-US"/>
        </w:rPr>
        <w:t xml:space="preserve"> Ave., Baku, AZ-1010 Azerbaijan</w:t>
      </w:r>
    </w:p>
    <w:p w14:paraId="38F6DA69" w14:textId="1EF79BF9" w:rsidR="00844007" w:rsidRPr="00844007" w:rsidRDefault="00E47381" w:rsidP="00222A03">
      <w:pPr>
        <w:jc w:val="center"/>
        <w:rPr>
          <w:lang w:val="en-US"/>
        </w:rPr>
      </w:pPr>
      <w:r w:rsidRPr="00E47381">
        <w:rPr>
          <w:rFonts w:ascii="Times New Roman" w:hAnsi="Times New Roman" w:cs="Times New Roman"/>
          <w:sz w:val="28"/>
          <w:szCs w:val="28"/>
          <w:vertAlign w:val="superscript"/>
          <w:lang w:val="en-US"/>
        </w:rPr>
        <w:t>3</w:t>
      </w:r>
      <w:r w:rsidR="00844007" w:rsidRPr="00844007">
        <w:rPr>
          <w:lang w:val="en-US"/>
        </w:rPr>
        <w:t>Institute of Physics of the National Academy of Sciences of Azerbaijan, 131 G. Javid Ave., Baku, AZ-1143 Azerbaijan</w:t>
      </w:r>
    </w:p>
    <w:p w14:paraId="7125BA92" w14:textId="1C276C1C" w:rsidR="00844007" w:rsidRPr="00844007" w:rsidRDefault="00E47381" w:rsidP="00222A03">
      <w:pPr>
        <w:jc w:val="center"/>
        <w:rPr>
          <w:lang w:val="en-US"/>
        </w:rPr>
      </w:pPr>
      <w:r w:rsidRPr="00E47381">
        <w:rPr>
          <w:rFonts w:ascii="Times New Roman" w:hAnsi="Times New Roman" w:cs="Times New Roman"/>
          <w:sz w:val="28"/>
          <w:szCs w:val="28"/>
          <w:vertAlign w:val="superscript"/>
          <w:lang w:val="en-US"/>
        </w:rPr>
        <w:t>4</w:t>
      </w:r>
      <w:r w:rsidR="00844007" w:rsidRPr="00844007">
        <w:rPr>
          <w:lang w:val="en-US"/>
        </w:rPr>
        <w:t xml:space="preserve"> Valiev Institute of Physics and Technology of the Russian Academy of Sciences, </w:t>
      </w:r>
      <w:proofErr w:type="spellStart"/>
      <w:r w:rsidR="00844007" w:rsidRPr="00844007">
        <w:rPr>
          <w:lang w:val="en-US"/>
        </w:rPr>
        <w:t>Nakhimovsky</w:t>
      </w:r>
      <w:proofErr w:type="spellEnd"/>
      <w:r w:rsidR="00844007" w:rsidRPr="00844007">
        <w:rPr>
          <w:lang w:val="en-US"/>
        </w:rPr>
        <w:t xml:space="preserve"> Ave., 36, Building 1, Moscow, 117218 Russia</w:t>
      </w:r>
    </w:p>
    <w:p w14:paraId="4F73575E" w14:textId="2F6B410B" w:rsidR="00844007" w:rsidRPr="00844007" w:rsidRDefault="00844007" w:rsidP="00222A03">
      <w:pPr>
        <w:jc w:val="center"/>
        <w:rPr>
          <w:lang w:val="en-US"/>
        </w:rPr>
      </w:pPr>
      <w:r w:rsidRPr="00844007">
        <w:rPr>
          <w:lang w:val="en-US"/>
        </w:rPr>
        <w:t>*E-mail:</w:t>
      </w:r>
    </w:p>
    <w:p w14:paraId="16EB9362" w14:textId="40AB18CA" w:rsidR="00844007" w:rsidRPr="00844007" w:rsidRDefault="00844007" w:rsidP="00222A03">
      <w:pPr>
        <w:jc w:val="center"/>
        <w:rPr>
          <w:lang w:val="en-US"/>
        </w:rPr>
      </w:pPr>
      <w:r w:rsidRPr="00844007">
        <w:rPr>
          <w:lang w:val="en-US"/>
        </w:rPr>
        <w:t>**E-mail:</w:t>
      </w:r>
    </w:p>
    <w:p w14:paraId="6681CF18" w14:textId="7EE2D665" w:rsidR="00844007" w:rsidRPr="00844007" w:rsidRDefault="00844007" w:rsidP="00222A03">
      <w:pPr>
        <w:jc w:val="center"/>
        <w:rPr>
          <w:lang w:val="en-US"/>
        </w:rPr>
      </w:pPr>
      <w:r w:rsidRPr="00844007">
        <w:rPr>
          <w:lang w:val="en-US"/>
        </w:rPr>
        <w:t>Received by the editorial office on 01.01.2022.</w:t>
      </w:r>
    </w:p>
    <w:p w14:paraId="1CF2CA46" w14:textId="5F47D8CD" w:rsidR="00844007" w:rsidRPr="00844007" w:rsidRDefault="00844007" w:rsidP="00222A03">
      <w:pPr>
        <w:jc w:val="center"/>
        <w:rPr>
          <w:lang w:val="en-US"/>
        </w:rPr>
      </w:pPr>
      <w:r w:rsidRPr="00844007">
        <w:rPr>
          <w:lang w:val="en-US"/>
        </w:rPr>
        <w:t>After completion on 01.01.2022</w:t>
      </w:r>
    </w:p>
    <w:p w14:paraId="2946B141" w14:textId="77777777" w:rsidR="00844007" w:rsidRPr="00844007" w:rsidRDefault="00844007" w:rsidP="00222A03">
      <w:pPr>
        <w:jc w:val="center"/>
        <w:rPr>
          <w:lang w:val="en-US"/>
        </w:rPr>
      </w:pPr>
      <w:r w:rsidRPr="00844007">
        <w:rPr>
          <w:lang w:val="en-US"/>
        </w:rPr>
        <w:t>Accepted for publication on 01.01.2022.</w:t>
      </w:r>
    </w:p>
    <w:p w14:paraId="180ACB94" w14:textId="77777777" w:rsidR="00844007" w:rsidRPr="00844007" w:rsidRDefault="00844007" w:rsidP="00222A03">
      <w:pPr>
        <w:ind w:firstLine="567"/>
        <w:rPr>
          <w:lang w:val="en-US"/>
        </w:rPr>
      </w:pPr>
      <w:r w:rsidRPr="00844007">
        <w:rPr>
          <w:lang w:val="en-US"/>
        </w:rPr>
        <w:t xml:space="preserve">The results of a theoretical study of local structural changes and adsorption characteristics of the graphene surface in the presence of the vacancy + </w:t>
      </w:r>
      <w:proofErr w:type="spellStart"/>
      <w:r w:rsidRPr="00844007">
        <w:rPr>
          <w:lang w:val="en-US"/>
        </w:rPr>
        <w:t>adatom</w:t>
      </w:r>
      <w:proofErr w:type="spellEnd"/>
      <w:r w:rsidRPr="00844007">
        <w:rPr>
          <w:lang w:val="en-US"/>
        </w:rPr>
        <w:t xml:space="preserve"> </w:t>
      </w:r>
      <w:proofErr w:type="spellStart"/>
      <w:r w:rsidR="00E47381" w:rsidRPr="00E47381">
        <w:rPr>
          <w:rFonts w:ascii="Times New Roman" w:hAnsi="Times New Roman" w:cs="Times New Roman"/>
          <w:sz w:val="28"/>
          <w:szCs w:val="28"/>
          <w:lang w:val="en-US"/>
        </w:rPr>
        <w:t>Au</w:t>
      </w:r>
      <w:r w:rsidR="00E47381" w:rsidRPr="00E47381">
        <w:rPr>
          <w:rFonts w:ascii="Times New Roman" w:hAnsi="Times New Roman" w:cs="Times New Roman"/>
          <w:sz w:val="28"/>
          <w:szCs w:val="28"/>
          <w:vertAlign w:val="subscript"/>
          <w:lang w:val="en-US"/>
        </w:rPr>
        <w:t>ads</w:t>
      </w:r>
      <w:proofErr w:type="spellEnd"/>
      <w:r w:rsidRPr="00844007">
        <w:rPr>
          <w:lang w:val="en-US"/>
        </w:rPr>
        <w:t xml:space="preserve"> complex are presented. Based on the density functional theory (DFT), the adsorption properties on the surface of graphene supercells </w:t>
      </w:r>
      <w:r w:rsidRPr="00844007">
        <w:rPr>
          <w:lang w:val="en-US"/>
        </w:rPr>
        <w:lastRenderedPageBreak/>
        <w:t>containing 50 carbon atoms with vacancies (GP(</w:t>
      </w:r>
      <w:proofErr w:type="spellStart"/>
      <w:r w:rsidR="00E47381" w:rsidRPr="00E47381">
        <w:rPr>
          <w:rFonts w:ascii="Times New Roman" w:hAnsi="Times New Roman" w:cs="Times New Roman"/>
          <w:sz w:val="28"/>
          <w:szCs w:val="28"/>
          <w:lang w:val="en-US"/>
        </w:rPr>
        <w:t>Au</w:t>
      </w:r>
      <w:r w:rsidR="00E47381" w:rsidRPr="00E47381">
        <w:rPr>
          <w:rFonts w:ascii="Times New Roman" w:hAnsi="Times New Roman" w:cs="Times New Roman"/>
          <w:sz w:val="28"/>
          <w:szCs w:val="28"/>
          <w:vertAlign w:val="subscript"/>
          <w:lang w:val="en-US"/>
        </w:rPr>
        <w:t>ads</w:t>
      </w:r>
      <w:proofErr w:type="spellEnd"/>
      <w:r w:rsidRPr="00844007">
        <w:rPr>
          <w:lang w:val="en-US"/>
        </w:rPr>
        <w:t>), GPV(</w:t>
      </w:r>
      <w:proofErr w:type="spellStart"/>
      <w:r w:rsidR="00E47381" w:rsidRPr="00E47381">
        <w:rPr>
          <w:rFonts w:ascii="Times New Roman" w:hAnsi="Times New Roman" w:cs="Times New Roman"/>
          <w:sz w:val="28"/>
          <w:szCs w:val="28"/>
          <w:lang w:val="en-US"/>
        </w:rPr>
        <w:t>Au</w:t>
      </w:r>
      <w:r w:rsidR="00E47381" w:rsidRPr="00E47381">
        <w:rPr>
          <w:rFonts w:ascii="Times New Roman" w:hAnsi="Times New Roman" w:cs="Times New Roman"/>
          <w:sz w:val="28"/>
          <w:szCs w:val="28"/>
          <w:vertAlign w:val="subscript"/>
          <w:lang w:val="en-US"/>
        </w:rPr>
        <w:t>ads</w:t>
      </w:r>
      <w:proofErr w:type="spellEnd"/>
      <w:r w:rsidRPr="00844007">
        <w:rPr>
          <w:lang w:val="en-US"/>
        </w:rPr>
        <w:t xml:space="preserve">)) have been calculated. The most stable configuration of GPV </w:t>
      </w:r>
      <w:proofErr w:type="spellStart"/>
      <w:r w:rsidRPr="00844007">
        <w:rPr>
          <w:lang w:val="en-US"/>
        </w:rPr>
        <w:t>supercells</w:t>
      </w:r>
      <w:proofErr w:type="spellEnd"/>
      <w:r w:rsidRPr="00844007">
        <w:rPr>
          <w:lang w:val="en-US"/>
        </w:rPr>
        <w:t xml:space="preserve"> (</w:t>
      </w:r>
      <w:proofErr w:type="spellStart"/>
      <w:r w:rsidR="00E47381" w:rsidRPr="00E47381">
        <w:rPr>
          <w:rFonts w:ascii="Times New Roman" w:hAnsi="Times New Roman" w:cs="Times New Roman"/>
          <w:sz w:val="28"/>
          <w:szCs w:val="28"/>
          <w:lang w:val="en-US"/>
        </w:rPr>
        <w:t>Au</w:t>
      </w:r>
      <w:r w:rsidR="00E47381" w:rsidRPr="00E47381">
        <w:rPr>
          <w:rFonts w:ascii="Times New Roman" w:hAnsi="Times New Roman" w:cs="Times New Roman"/>
          <w:sz w:val="28"/>
          <w:szCs w:val="28"/>
          <w:vertAlign w:val="subscript"/>
          <w:lang w:val="en-US"/>
        </w:rPr>
        <w:t>ads</w:t>
      </w:r>
      <w:proofErr w:type="spellEnd"/>
      <w:r w:rsidRPr="00844007">
        <w:rPr>
          <w:lang w:val="en-US"/>
        </w:rPr>
        <w:t xml:space="preserve">) with the vacancy + </w:t>
      </w:r>
      <w:proofErr w:type="spellStart"/>
      <w:r w:rsidRPr="00844007">
        <w:rPr>
          <w:lang w:val="en-US"/>
        </w:rPr>
        <w:t>adatom</w:t>
      </w:r>
      <w:proofErr w:type="spellEnd"/>
      <w:r w:rsidRPr="00844007">
        <w:rPr>
          <w:lang w:val="en-US"/>
        </w:rPr>
        <w:t xml:space="preserve"> </w:t>
      </w:r>
      <w:proofErr w:type="spellStart"/>
      <w:r w:rsidR="00E47381" w:rsidRPr="00E47381">
        <w:rPr>
          <w:rFonts w:ascii="Times New Roman" w:hAnsi="Times New Roman" w:cs="Times New Roman"/>
          <w:sz w:val="28"/>
          <w:szCs w:val="28"/>
          <w:lang w:val="en-US"/>
        </w:rPr>
        <w:t>Au</w:t>
      </w:r>
      <w:r w:rsidR="00E47381" w:rsidRPr="00E47381">
        <w:rPr>
          <w:rFonts w:ascii="Times New Roman" w:hAnsi="Times New Roman" w:cs="Times New Roman"/>
          <w:sz w:val="28"/>
          <w:szCs w:val="28"/>
          <w:vertAlign w:val="subscript"/>
          <w:lang w:val="en-US"/>
        </w:rPr>
        <w:t>ads</w:t>
      </w:r>
      <w:proofErr w:type="spellEnd"/>
      <w:r w:rsidRPr="00844007">
        <w:rPr>
          <w:lang w:val="en-US"/>
        </w:rPr>
        <w:t xml:space="preserve"> complex has been determined. The effect of the </w:t>
      </w:r>
      <w:proofErr w:type="spellStart"/>
      <w:r w:rsidR="00E47381" w:rsidRPr="00E47381">
        <w:rPr>
          <w:rFonts w:ascii="Times New Roman" w:hAnsi="Times New Roman" w:cs="Times New Roman"/>
          <w:sz w:val="28"/>
          <w:szCs w:val="28"/>
          <w:lang w:val="en-US"/>
        </w:rPr>
        <w:t>Au</w:t>
      </w:r>
      <w:r w:rsidR="00E47381" w:rsidRPr="00E47381">
        <w:rPr>
          <w:rFonts w:ascii="Times New Roman" w:hAnsi="Times New Roman" w:cs="Times New Roman"/>
          <w:sz w:val="28"/>
          <w:szCs w:val="28"/>
          <w:vertAlign w:val="subscript"/>
          <w:lang w:val="en-US"/>
        </w:rPr>
        <w:t>ads</w:t>
      </w:r>
      <w:proofErr w:type="spellEnd"/>
      <w:r w:rsidRPr="00844007">
        <w:rPr>
          <w:lang w:val="en-US"/>
        </w:rPr>
        <w:t xml:space="preserve"> </w:t>
      </w:r>
      <w:proofErr w:type="spellStart"/>
      <w:r w:rsidRPr="00844007">
        <w:rPr>
          <w:lang w:val="en-US"/>
        </w:rPr>
        <w:t>adatom</w:t>
      </w:r>
      <w:proofErr w:type="spellEnd"/>
      <w:r w:rsidRPr="00844007">
        <w:rPr>
          <w:lang w:val="en-US"/>
        </w:rPr>
        <w:t xml:space="preserve"> on the band structure and local magnetic moment in GPV(</w:t>
      </w:r>
      <w:proofErr w:type="spellStart"/>
      <w:r w:rsidR="00E47381" w:rsidRPr="00E47381">
        <w:rPr>
          <w:rFonts w:ascii="Times New Roman" w:hAnsi="Times New Roman" w:cs="Times New Roman"/>
          <w:sz w:val="28"/>
          <w:szCs w:val="28"/>
          <w:lang w:val="en-US"/>
        </w:rPr>
        <w:t>Au</w:t>
      </w:r>
      <w:r w:rsidR="00E47381" w:rsidRPr="00E47381">
        <w:rPr>
          <w:rFonts w:ascii="Times New Roman" w:hAnsi="Times New Roman" w:cs="Times New Roman"/>
          <w:sz w:val="28"/>
          <w:szCs w:val="28"/>
          <w:vertAlign w:val="subscript"/>
          <w:lang w:val="en-US"/>
        </w:rPr>
        <w:t>ads</w:t>
      </w:r>
      <w:proofErr w:type="spellEnd"/>
      <w:r w:rsidRPr="00844007">
        <w:rPr>
          <w:lang w:val="en-US"/>
        </w:rPr>
        <w:t>) has been calculated. The data was analyzed based on the equilibrium atomic configuration of GPV(</w:t>
      </w:r>
      <w:proofErr w:type="spellStart"/>
      <w:r w:rsidR="00E47381" w:rsidRPr="00E47381">
        <w:rPr>
          <w:rFonts w:ascii="Times New Roman" w:hAnsi="Times New Roman" w:cs="Times New Roman"/>
          <w:sz w:val="28"/>
          <w:szCs w:val="28"/>
          <w:lang w:val="en-US"/>
        </w:rPr>
        <w:t>Au</w:t>
      </w:r>
      <w:r w:rsidR="00E47381" w:rsidRPr="00E47381">
        <w:rPr>
          <w:rFonts w:ascii="Times New Roman" w:hAnsi="Times New Roman" w:cs="Times New Roman"/>
          <w:sz w:val="28"/>
          <w:szCs w:val="28"/>
          <w:vertAlign w:val="subscript"/>
          <w:lang w:val="en-US"/>
        </w:rPr>
        <w:t>ads</w:t>
      </w:r>
      <w:proofErr w:type="spellEnd"/>
      <w:r w:rsidRPr="00844007">
        <w:rPr>
          <w:lang w:val="en-US"/>
        </w:rPr>
        <w:t xml:space="preserve">), local density of electronic states, and spin polarization. The calculations were performed using the exchange-correlation functional in the local electron spin density (LSDA) approximation. </w:t>
      </w:r>
    </w:p>
    <w:p w14:paraId="7130B2BF" w14:textId="77777777" w:rsidR="00844007" w:rsidRPr="00844007" w:rsidRDefault="00844007" w:rsidP="00222A03">
      <w:pPr>
        <w:ind w:firstLine="567"/>
        <w:rPr>
          <w:lang w:val="en-US"/>
        </w:rPr>
      </w:pPr>
      <w:r w:rsidRPr="00844007">
        <w:rPr>
          <w:lang w:val="en-US"/>
        </w:rPr>
        <w:t>Keywords: graphene, vacancy, gold atom adsorption, DFT LSDA, magnetic moment.</w:t>
      </w:r>
    </w:p>
    <w:p w14:paraId="74463C40" w14:textId="0D3C2C84" w:rsidR="00844007" w:rsidRPr="00844007" w:rsidRDefault="00844007" w:rsidP="00844007">
      <w:pPr>
        <w:rPr>
          <w:lang w:val="en-US"/>
        </w:rPr>
      </w:pPr>
      <w:r w:rsidRPr="00844007">
        <w:rPr>
          <w:lang w:val="en-US"/>
        </w:rPr>
        <w:t xml:space="preserve">5. All materials of the article – text, footnotes, literature are printed </w:t>
      </w:r>
      <w:r w:rsidR="0098640C">
        <w:rPr>
          <w:lang w:val="en-US"/>
        </w:rPr>
        <w:t>with</w:t>
      </w:r>
      <w:r w:rsidRPr="00844007">
        <w:rPr>
          <w:lang w:val="en-US"/>
        </w:rPr>
        <w:t xml:space="preserve"> </w:t>
      </w:r>
      <w:r w:rsidR="005F0ADB">
        <w:rPr>
          <w:lang w:val="en-US"/>
        </w:rPr>
        <w:t xml:space="preserve">line spacing </w:t>
      </w:r>
      <w:r w:rsidR="005F0ADB" w:rsidRPr="00844007">
        <w:rPr>
          <w:lang w:val="en-US"/>
        </w:rPr>
        <w:t>1.5</w:t>
      </w:r>
      <w:r w:rsidRPr="00844007">
        <w:rPr>
          <w:lang w:val="en-US"/>
        </w:rPr>
        <w:t xml:space="preserve">. Where a link to a drawing appears for the first time in the text, it is necessary to mark it in the margins or highlight it in color. The figures are numbered sequentially, regardless of their number in the text. Links to tables are also created in the same way. Notation should be used in the table headings. Tables and the list of cited literature should be printed on separate pages from the text. </w:t>
      </w:r>
    </w:p>
    <w:p w14:paraId="45824E9F" w14:textId="60D8E413" w:rsidR="00844007" w:rsidRPr="00844007" w:rsidRDefault="00844007" w:rsidP="00844007">
      <w:pPr>
        <w:rPr>
          <w:lang w:val="en-US"/>
        </w:rPr>
      </w:pPr>
      <w:r w:rsidRPr="00844007">
        <w:rPr>
          <w:lang w:val="en-US"/>
        </w:rPr>
        <w:t xml:space="preserve">Formulas are numbered in order, end-to-end numbering through the entire article. </w:t>
      </w:r>
      <w:r w:rsidR="005F0ADB">
        <w:rPr>
          <w:lang w:val="en-US"/>
        </w:rPr>
        <w:t>Please d</w:t>
      </w:r>
      <w:r w:rsidRPr="00844007">
        <w:rPr>
          <w:lang w:val="en-US"/>
        </w:rPr>
        <w:t xml:space="preserve">o not put dots at the end of formulas. </w:t>
      </w:r>
    </w:p>
    <w:p w14:paraId="330F0ED7" w14:textId="77777777" w:rsidR="00844007" w:rsidRPr="00844007" w:rsidRDefault="00844007" w:rsidP="00844007">
      <w:pPr>
        <w:rPr>
          <w:lang w:val="en-US"/>
        </w:rPr>
      </w:pPr>
      <w:r w:rsidRPr="00844007">
        <w:rPr>
          <w:lang w:val="en-US"/>
        </w:rPr>
        <w:t>6. The article should consist of numbered sections, including an introduction. The conclusion is not numbered. After the conclusion, the acknowledgements, absence of conflict of interest and references to financing are indicated. The literature is given in the order of citation at the end of the article, indicating the author's last name and initials, the full title of the book (article), publisher, journal name in full (year, volume, number, page numbers; the text should contain references in square brackets: [1], [2, 3] and so on. References to foreign sources must be given in the original language.</w:t>
      </w:r>
    </w:p>
    <w:p w14:paraId="63B92937" w14:textId="7B14752A" w:rsidR="00844007" w:rsidRPr="00E47381" w:rsidRDefault="00844007" w:rsidP="00844007">
      <w:pPr>
        <w:rPr>
          <w:b/>
          <w:lang w:val="en-US"/>
        </w:rPr>
      </w:pPr>
      <w:r w:rsidRPr="00E47381">
        <w:rPr>
          <w:b/>
          <w:lang w:val="en-US"/>
        </w:rPr>
        <w:t xml:space="preserve">Technical </w:t>
      </w:r>
      <w:r w:rsidR="0098640C">
        <w:rPr>
          <w:b/>
          <w:lang w:val="en-US"/>
        </w:rPr>
        <w:t>R</w:t>
      </w:r>
      <w:r w:rsidRPr="00E47381">
        <w:rPr>
          <w:b/>
          <w:lang w:val="en-US"/>
        </w:rPr>
        <w:t>equirements:</w:t>
      </w:r>
    </w:p>
    <w:p w14:paraId="516F1E63" w14:textId="77777777" w:rsidR="00844007" w:rsidRPr="00844007" w:rsidRDefault="00844007" w:rsidP="00844007">
      <w:pPr>
        <w:rPr>
          <w:lang w:val="en-US"/>
        </w:rPr>
      </w:pPr>
      <w:r w:rsidRPr="00844007">
        <w:rPr>
          <w:lang w:val="en-US"/>
        </w:rPr>
        <w:t xml:space="preserve">1. The illustrative material is attached on separate pages. The graphs should be suitable for direct reproduction; it is necessary to carefully monitor the exact correspondence of the symbols in the text and in the figures. </w:t>
      </w:r>
    </w:p>
    <w:p w14:paraId="2EED9C06" w14:textId="77777777" w:rsidR="00844007" w:rsidRPr="00844007" w:rsidRDefault="00844007" w:rsidP="00844007">
      <w:pPr>
        <w:rPr>
          <w:lang w:val="en-US"/>
        </w:rPr>
      </w:pPr>
      <w:r w:rsidRPr="00844007">
        <w:rPr>
          <w:lang w:val="en-US"/>
        </w:rPr>
        <w:t>2. The captions must be in Russian and listed on a separate page.</w:t>
      </w:r>
    </w:p>
    <w:p w14:paraId="6C8766C5" w14:textId="77777777" w:rsidR="00844007" w:rsidRPr="00844007" w:rsidRDefault="00844007" w:rsidP="00844007">
      <w:pPr>
        <w:rPr>
          <w:lang w:val="en-US"/>
        </w:rPr>
      </w:pPr>
      <w:r w:rsidRPr="00844007">
        <w:rPr>
          <w:lang w:val="en-US"/>
        </w:rPr>
        <w:t xml:space="preserve">3. The illustrations should be sized according to their informative value. </w:t>
      </w:r>
    </w:p>
    <w:p w14:paraId="217E968B" w14:textId="77777777" w:rsidR="00844007" w:rsidRPr="00844007" w:rsidRDefault="00844007" w:rsidP="00844007">
      <w:pPr>
        <w:rPr>
          <w:lang w:val="en-US"/>
        </w:rPr>
      </w:pPr>
      <w:r w:rsidRPr="00844007">
        <w:rPr>
          <w:lang w:val="en-US"/>
        </w:rPr>
        <w:t xml:space="preserve">4. If the size of the illustration is changed during the process of making editorial changes, the text is reduced proportionally to the entire image. </w:t>
      </w:r>
    </w:p>
    <w:p w14:paraId="10621975" w14:textId="1827F15E" w:rsidR="00844007" w:rsidRPr="00844007" w:rsidRDefault="00844007" w:rsidP="00844007">
      <w:pPr>
        <w:rPr>
          <w:lang w:val="en-US"/>
        </w:rPr>
      </w:pPr>
      <w:r w:rsidRPr="00844007">
        <w:rPr>
          <w:lang w:val="en-US"/>
        </w:rPr>
        <w:t>5. If the illustration consists of several images (graphs), then each of the images (graphs) is indicated by letters of the Cyrillic alphabet enclosed in brackets – (a), (</w:t>
      </w:r>
      <w:r w:rsidR="0098640C">
        <w:t>б</w:t>
      </w:r>
      <w:r w:rsidRPr="00844007">
        <w:rPr>
          <w:lang w:val="en-US"/>
        </w:rPr>
        <w:t xml:space="preserve">), etc., in 10 pt font, in the center of each image (graph). </w:t>
      </w:r>
    </w:p>
    <w:p w14:paraId="1E775182" w14:textId="4F63581F" w:rsidR="00844007" w:rsidRPr="00844007" w:rsidRDefault="00844007" w:rsidP="00844007">
      <w:pPr>
        <w:rPr>
          <w:lang w:val="en-US"/>
        </w:rPr>
      </w:pPr>
      <w:r w:rsidRPr="00844007">
        <w:rPr>
          <w:lang w:val="en-US"/>
        </w:rPr>
        <w:t xml:space="preserve">6. The dot is not placed after the dimensions (s – second, g – gram, min – minute). </w:t>
      </w:r>
    </w:p>
    <w:p w14:paraId="627E9DF3" w14:textId="77777777" w:rsidR="00A477C6" w:rsidRPr="00844007" w:rsidRDefault="00844007" w:rsidP="00844007">
      <w:pPr>
        <w:rPr>
          <w:lang w:val="en-US"/>
        </w:rPr>
      </w:pPr>
      <w:r w:rsidRPr="00844007">
        <w:rPr>
          <w:lang w:val="en-US"/>
        </w:rPr>
        <w:t xml:space="preserve">7. The article should be accompanied by files with drawings in one of the following formats: eps, tiff, jpg, bmp, </w:t>
      </w:r>
      <w:proofErr w:type="spellStart"/>
      <w:r w:rsidRPr="00844007">
        <w:rPr>
          <w:lang w:val="en-US"/>
        </w:rPr>
        <w:t>ppt</w:t>
      </w:r>
      <w:proofErr w:type="spellEnd"/>
      <w:r w:rsidRPr="00844007">
        <w:rPr>
          <w:lang w:val="en-US"/>
        </w:rPr>
        <w:t xml:space="preserve">, </w:t>
      </w:r>
      <w:proofErr w:type="spellStart"/>
      <w:r w:rsidRPr="00844007">
        <w:rPr>
          <w:lang w:val="en-US"/>
        </w:rPr>
        <w:t>png</w:t>
      </w:r>
      <w:proofErr w:type="spellEnd"/>
      <w:r w:rsidRPr="00844007">
        <w:rPr>
          <w:lang w:val="en-US"/>
        </w:rPr>
        <w:t>.</w:t>
      </w:r>
    </w:p>
    <w:sectPr w:rsidR="00A477C6" w:rsidRPr="008440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07"/>
    <w:rsid w:val="00170CEE"/>
    <w:rsid w:val="00222A03"/>
    <w:rsid w:val="00362812"/>
    <w:rsid w:val="005F0ADB"/>
    <w:rsid w:val="00844007"/>
    <w:rsid w:val="0098640C"/>
    <w:rsid w:val="00A477C6"/>
    <w:rsid w:val="00B830EB"/>
    <w:rsid w:val="00E02744"/>
    <w:rsid w:val="00E47381"/>
    <w:rsid w:val="00F66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4C33"/>
  <w15:chartTrackingRefBased/>
  <w15:docId w15:val="{03D43A7F-6174-42D2-88ED-516CC91E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804</Words>
  <Characters>4587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2025-10-07T10:14:00Z</dcterms:created>
  <dcterms:modified xsi:type="dcterms:W3CDTF">2025-10-10T11:24:00Z</dcterms:modified>
</cp:coreProperties>
</file>